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checkHNMR (beta): PDF input template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</w:rPr>
        <w:t xml:space="preserve">Characterization data in the ACS style, one block per compound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How to fill 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</w:rPr>
        <w:t xml:space="preserve">Write one block per compound, up to 20 compounds per file.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</w:rPr>
        <w:t xml:space="preserve">Put the compound label on its own line (for example </w:t>
      </w:r>
      <w:r>
        <w:rPr>
          <w:rFonts w:ascii="Times New Roman" w:cs="Times New Roman" w:eastAsia="Times New Roman" w:hAnsi="Times New Roman"/>
          <w:b/>
          <w:bCs/>
        </w:rPr>
        <w:t xml:space="preserve">3a</w:t>
      </w:r>
      <w:r>
        <w:rPr>
          <w:rFonts w:ascii="Times New Roman" w:cs="Times New Roman" w:eastAsia="Times New Roman" w:hAnsi="Times New Roman"/>
        </w:rPr>
        <w:t xml:space="preserve">), then the name.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</w:rPr>
        <w:t xml:space="preserve">Add a line “SMILES: …” for each compound. It is optional but strongly recommended: without a structure the proton count (item 1) is compared only with the HRMS formula, and the checks that need a structure are not run.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</w:rPr>
        <w:t xml:space="preserve">Write the </w:t>
      </w:r>
      <w:r>
        <w:rPr>
          <w:rFonts w:ascii="Times New Roman" w:cs="Times New Roman" w:eastAsia="Times New Roman" w:hAnsi="Times New Roman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</w:rPr>
        <w:t xml:space="preserve">H NMR description in one paragraph: “</w:t>
      </w:r>
      <w:r>
        <w:rPr>
          <w:rFonts w:ascii="Times New Roman" w:cs="Times New Roman" w:eastAsia="Times New Roman" w:hAnsi="Times New Roman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</w:rPr>
        <w:t xml:space="preserve">H NMR (frequency, solvent) δ shift (multiplicity, </w:t>
      </w:r>
      <w:r>
        <w:rPr>
          <w:rFonts w:ascii="Times New Roman" w:cs="Times New Roman" w:eastAsia="Times New Roman" w:hAnsi="Times New Roman"/>
          <w:i/>
          <w:iCs/>
        </w:rPr>
        <w:t xml:space="preserve">J</w:t>
      </w:r>
      <w:r>
        <w:rPr>
          <w:rFonts w:ascii="Times New Roman" w:cs="Times New Roman" w:eastAsia="Times New Roman" w:hAnsi="Times New Roman"/>
        </w:rPr>
        <w:t xml:space="preserve"> = … Hz, number of protons, assignment if you wish), … .” The order of the parts inside the brackets may differ.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</w:rPr>
        <w:t xml:space="preserve">Report signals of non-first-order spin systems (e.g., the AA′XX′ systems of para-disubstituted benzenes and of X–CH</w:t>
      </w:r>
      <w:r>
        <w:rPr>
          <w:rFonts w:ascii="Times New Roman" w:cs="Times New Roman" w:eastAsia="Times New Roman" w:hAnsi="Times New Roman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</w:rPr>
        <w:t xml:space="preserve">–CH</w:t>
      </w:r>
      <w:r>
        <w:rPr>
          <w:rFonts w:ascii="Times New Roman" w:cs="Times New Roman" w:eastAsia="Times New Roman" w:hAnsi="Times New Roman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</w:rPr>
        <w:t xml:space="preserve">–Y fragments such as BrCH</w:t>
      </w:r>
      <w:r>
        <w:rPr>
          <w:rFonts w:ascii="Times New Roman" w:cs="Times New Roman" w:eastAsia="Times New Roman" w:hAnsi="Times New Roman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</w:rPr>
        <w:t xml:space="preserve">CH</w:t>
      </w:r>
      <w:r>
        <w:rPr>
          <w:rFonts w:ascii="Times New Roman" w:cs="Times New Roman" w:eastAsia="Times New Roman" w:hAnsi="Times New Roman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</w:rPr>
        <w:t xml:space="preserve">I, including CH</w:t>
      </w:r>
      <w:r>
        <w:rPr>
          <w:rFonts w:ascii="Times New Roman" w:cs="Times New Roman" w:eastAsia="Times New Roman" w:hAnsi="Times New Roman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</w:rPr>
        <w:t xml:space="preserve">–CH</w:t>
      </w:r>
      <w:r>
        <w:rPr>
          <w:rFonts w:ascii="Times New Roman" w:cs="Times New Roman" w:eastAsia="Times New Roman" w:hAnsi="Times New Roman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</w:rPr>
        <w:t xml:space="preserve"> fragments of saturated rings, and monosubstituted phenyl groups) as multiplets without coupling constants, giving the range: “6.82–6.76 (m, 2H)”. Alternatively, mark the signal as non-first-order and give the splitting as an apparent value: “7.76 (nfod, </w:t>
      </w:r>
      <w:r>
        <w:rPr>
          <w:rFonts w:ascii="Times New Roman" w:cs="Times New Roman" w:eastAsia="Times New Roman" w:hAnsi="Times New Roman"/>
          <w:i/>
          <w:iCs/>
        </w:rPr>
        <w:t xml:space="preserve">J</w:t>
      </w:r>
      <w:r>
        <w:rPr>
          <w:rFonts w:ascii="Times New Roman" w:cs="Times New Roman" w:eastAsia="Times New Roman" w:hAnsi="Times New Roman"/>
          <w:vertAlign w:val="subscript"/>
        </w:rPr>
        <w:t xml:space="preserve">app</w:t>
      </w:r>
      <w:r>
        <w:rPr>
          <w:rFonts w:ascii="Times New Roman" w:cs="Times New Roman" w:eastAsia="Times New Roman" w:hAnsi="Times New Roman"/>
        </w:rPr>
        <w:t xml:space="preserve"> = 8.3 Hz, 2H)”, where nfod (nfot, nfom) is a non-first-order doublet (triplet, multiplet) and </w:t>
      </w:r>
      <w:r>
        <w:rPr>
          <w:rFonts w:ascii="Times New Roman" w:cs="Times New Roman" w:eastAsia="Times New Roman" w:hAnsi="Times New Roman"/>
          <w:i/>
          <w:iCs/>
        </w:rPr>
        <w:t xml:space="preserve">J</w:t>
      </w:r>
      <w:r>
        <w:rPr>
          <w:rFonts w:ascii="Times New Roman" w:cs="Times New Roman" w:eastAsia="Times New Roman" w:hAnsi="Times New Roman"/>
          <w:vertAlign w:val="subscript"/>
        </w:rPr>
        <w:t xml:space="preserve">app</w:t>
      </w:r>
      <w:r>
        <w:rPr>
          <w:rFonts w:ascii="Times New Roman" w:cs="Times New Roman" w:eastAsia="Times New Roman" w:hAnsi="Times New Roman"/>
        </w:rPr>
        <w:t xml:space="preserve"> is the observed spacing (for an AA′XX′ system, </w:t>
      </w:r>
      <w:r>
        <w:rPr>
          <w:rFonts w:ascii="Times New Roman" w:cs="Times New Roman" w:eastAsia="Times New Roman" w:hAnsi="Times New Roman"/>
          <w:i/>
          <w:iCs/>
        </w:rPr>
        <w:t xml:space="preserve">J</w:t>
      </w:r>
      <w:r>
        <w:rPr>
          <w:rFonts w:ascii="Times New Roman" w:cs="Times New Roman" w:eastAsia="Times New Roman" w:hAnsi="Times New Roman"/>
          <w:vertAlign w:val="subscript"/>
        </w:rPr>
        <w:t xml:space="preserve">o</w:t>
      </w:r>
      <w:r>
        <w:rPr>
          <w:rFonts w:ascii="Times New Roman" w:cs="Times New Roman" w:eastAsia="Times New Roman" w:hAnsi="Times New Roman"/>
        </w:rPr>
        <w:t xml:space="preserve"> + </w:t>
      </w:r>
      <w:r>
        <w:rPr>
          <w:rFonts w:ascii="Times New Roman" w:cs="Times New Roman" w:eastAsia="Times New Roman" w:hAnsi="Times New Roman"/>
          <w:i/>
          <w:iCs/>
        </w:rPr>
        <w:t xml:space="preserve">J</w:t>
      </w:r>
      <w:r>
        <w:rPr>
          <w:rFonts w:ascii="Times New Roman" w:cs="Times New Roman" w:eastAsia="Times New Roman" w:hAnsi="Times New Roman"/>
          <w:vertAlign w:val="subscript"/>
        </w:rPr>
        <w:t xml:space="preserve">p</w:t>
      </w:r>
      <w:r>
        <w:rPr>
          <w:rFonts w:ascii="Times New Roman" w:cs="Times New Roman" w:eastAsia="Times New Roman" w:hAnsi="Times New Roman"/>
        </w:rPr>
        <w:t xml:space="preserve">), as defined by Tang, Xu and Hoye (</w:t>
      </w:r>
      <w:r>
        <w:rPr>
          <w:rFonts w:ascii="Times New Roman" w:cs="Times New Roman" w:eastAsia="Times New Roman" w:hAnsi="Times New Roman"/>
          <w:i/>
          <w:iCs/>
        </w:rPr>
        <w:t xml:space="preserve">Molecules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b/>
          <w:bCs/>
        </w:rPr>
        <w:t xml:space="preserve">2025</w:t>
      </w:r>
      <w:r>
        <w:rPr>
          <w:rFonts w:ascii="Times New Roman" w:cs="Times New Roman" w:eastAsia="Times New Roman" w:hAnsi="Times New Roman"/>
        </w:rPr>
        <w:t xml:space="preserve">, </w:t>
      </w:r>
      <w:r>
        <w:rPr>
          <w:rFonts w:ascii="Times New Roman" w:cs="Times New Roman" w:eastAsia="Times New Roman" w:hAnsi="Times New Roman"/>
          <w:i/>
          <w:iCs/>
        </w:rPr>
        <w:t xml:space="preserve">30</w:t>
      </w:r>
      <w:r>
        <w:rPr>
          <w:rFonts w:ascii="Times New Roman" w:cs="Times New Roman" w:eastAsia="Times New Roman" w:hAnsi="Times New Roman"/>
        </w:rPr>
        <w:t xml:space="preserve">, 2610). Coupling constants may be given for a multiplet only if they were obtained by total lineshape analysis or spectral simulation; state the method (and the program) in the experimental section.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vertAlign w:val="superscript"/>
        </w:rPr>
        <w:t xml:space="preserve">13</w:t>
      </w:r>
      <w:r>
        <w:rPr>
          <w:rFonts w:ascii="Times New Roman" w:cs="Times New Roman" w:eastAsia="Times New Roman" w:hAnsi="Times New Roman"/>
        </w:rPr>
        <w:t xml:space="preserve">C NMR, </w:t>
      </w:r>
      <w:r>
        <w:rPr>
          <w:rFonts w:ascii="Times New Roman" w:cs="Times New Roman" w:eastAsia="Times New Roman" w:hAnsi="Times New Roman"/>
          <w:vertAlign w:val="superscript"/>
        </w:rPr>
        <w:t xml:space="preserve">19</w:t>
      </w:r>
      <w:r>
        <w:rPr>
          <w:rFonts w:ascii="Times New Roman" w:cs="Times New Roman" w:eastAsia="Times New Roman" w:hAnsi="Times New Roman"/>
        </w:rPr>
        <w:t xml:space="preserve">F NMR, </w:t>
      </w:r>
      <w:r>
        <w:rPr>
          <w:rFonts w:ascii="Times New Roman" w:cs="Times New Roman" w:eastAsia="Times New Roman" w:hAnsi="Times New Roman"/>
          <w:vertAlign w:val="superscript"/>
        </w:rPr>
        <w:t xml:space="preserve">31</w:t>
      </w:r>
      <w:r>
        <w:rPr>
          <w:rFonts w:ascii="Times New Roman" w:cs="Times New Roman" w:eastAsia="Times New Roman" w:hAnsi="Times New Roman"/>
        </w:rPr>
        <w:t xml:space="preserve">P NMR and HRMS lines are optional. The molecular formula is taken from the HRMS line. For H–F and H–P couplings, give the proton-coupled </w:t>
      </w:r>
      <w:r>
        <w:rPr>
          <w:rFonts w:ascii="Times New Roman" w:cs="Times New Roman" w:eastAsia="Times New Roman" w:hAnsi="Times New Roman"/>
          <w:vertAlign w:val="superscript"/>
        </w:rPr>
        <w:t xml:space="preserve">19</w:t>
      </w:r>
      <w:r>
        <w:rPr>
          <w:rFonts w:ascii="Times New Roman" w:cs="Times New Roman" w:eastAsia="Times New Roman" w:hAnsi="Times New Roman"/>
        </w:rPr>
        <w:t xml:space="preserve">F or </w:t>
      </w:r>
      <w:r>
        <w:rPr>
          <w:rFonts w:ascii="Times New Roman" w:cs="Times New Roman" w:eastAsia="Times New Roman" w:hAnsi="Times New Roman"/>
          <w:vertAlign w:val="superscript"/>
        </w:rPr>
        <w:t xml:space="preserve">31</w:t>
      </w:r>
      <w:r>
        <w:rPr>
          <w:rFonts w:ascii="Times New Roman" w:cs="Times New Roman" w:eastAsia="Times New Roman" w:hAnsi="Times New Roman"/>
        </w:rPr>
        <w:t xml:space="preserve">P description: the splitting is looked for there (a {</w:t>
      </w:r>
      <w:r>
        <w:rPr>
          <w:rFonts w:ascii="Times New Roman" w:cs="Times New Roman" w:eastAsia="Times New Roman" w:hAnsi="Times New Roman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</w:rPr>
        <w:t xml:space="preserve">H}-decoupled spectrum cannot show it).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</w:rPr>
        <w:t xml:space="preserve">Save the file from Word as PDF (File → Save As → PDF). Scans and pictures of text cannot be read: the text in the PDF must be selectable.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</w:rPr>
        <w:t xml:space="preserve">Before the report, checkHNMR shows how each description was read. Check this table first.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</w:rPr>
        <w:t xml:space="preserve">The file is read in your browser and is not uploaded or stored.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Example*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</w:rPr>
        <w:t xml:space="preserve">*All values below are invented to illustrate the format. They are not measured data for these compounds.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Ethyl (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)-but-2-enoate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SMILES: CCOC(=O)/C=C/C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Colorless liquid (98 mg, 86%).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 NMR (400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6.97 (dq,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15.6, 6.9 Hz, 1H), 5.84 (dq,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15.6, 1.7 Hz, 1H), 4.18 (q,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7.1 Hz, 2H), 1.88 (dd,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6.9, 1.7 Hz, 3H), 1.28 (t,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7.1 Hz, 3H).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C{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H} NMR (101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166.6, 144.6, 122.8, 60.1, 18.0, 14.3.</w:t>
      </w:r>
    </w:p>
    <w:p>
      <w:pPr>
        <w:spacing w:after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HRMS (ESI)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z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: [M + H]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+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calcd for C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11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115.0754; found 115.0756.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</w:t>
      </w:r>
    </w:p>
    <w:p>
      <w:pPr>
        <w:spacing w:after="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-Benzyl-4-methoxyaniline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SMILES: COc1ccc(NCc2ccccc2)cc1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Yellow oil (171 mg, 80%).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 NMR (400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7.38–7.25 (m, 5H), 6.82–6.76 (m, 2H), 6.64–6.58 (m, 2H), 4.29 (s, 2H), 3.80 (br s, 1H, NH), 3.75 (s, 3H).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C{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H} NMR (101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152.2, 142.5, 139.7, 128.6, 127.6, 127.2, 114.9, 114.2, 55.8, 49.3.</w:t>
      </w:r>
    </w:p>
    <w:p>
      <w:pPr>
        <w:spacing w:after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HRMS (ESI)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z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: [M + H]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+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calcd for C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14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16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 214.1226; found 214.1229.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Ethyl 2-fluoroacetate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SMILES: CCOC(=O)CF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Colorless liquid (87 mg, 82%).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 NMR (400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4.83 (d,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47.1 Hz, 2H), 4.28 (q,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7.1 Hz, 2H), 1.31 (t,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7.1 Hz, 3H).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C{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H} NMR (101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167.8 (d,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22.0 Hz), 77.6 (d,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180.2 Hz), 61.6, 14.1.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19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F NMR (376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−230.6 (t,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47.1 Hz).</w:t>
      </w:r>
    </w:p>
    <w:p>
      <w:pPr>
        <w:spacing w:after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HRMS (ESI)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z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: [M + H]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+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calcd for C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4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8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FO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107.0503; found 107.0505.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Dimethyl methylphosphonate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SMILES: COP(C)(=O)OC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Colorless liquid (105 mg, 85%).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 NMR (400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3.74 (d,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11.0 Hz, 6H), 1.48 (d,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17.6 Hz, 3H).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C{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H} NMR (101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52.4 (d,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6.2 Hz), 10.0 (d,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144.6 Hz).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31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 NMR (162 MHz, CDCl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) δ 32.9 (qsept,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J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= 17.6, 11.0 Hz).</w:t>
      </w:r>
    </w:p>
    <w:p>
      <w:pPr>
        <w:spacing w:after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HRMS (ESI)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z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: [M + H]</w:t>
      </w:r>
      <w:r>
        <w:rPr>
          <w:rFonts w:ascii="Times New Roman" w:cs="Times New Roman" w:eastAsia="Times New Roman" w:hAnsi="Times New Roman"/>
          <w:sz w:val="22"/>
          <w:szCs w:val="22"/>
          <w:vertAlign w:val="superscript"/>
        </w:rPr>
        <w:t xml:space="preserve">+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calcd for C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10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</w:t>
      </w:r>
      <w:r>
        <w:rPr>
          <w:rFonts w:ascii="Times New Roman" w:cs="Times New Roman" w:eastAsia="Times New Roman" w:hAnsi="Times New Roman"/>
          <w:sz w:val="22"/>
          <w:szCs w:val="22"/>
          <w:vertAlign w:val="subscript"/>
        </w:rPr>
        <w:t xml:space="preserve">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 125.0362; found 125.0360.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2026-10-26T20:39:43.932Z</dcterms:created>
  <dcterms:modified xsi:type="dcterms:W3CDTF">2026-10-26T20:39:43.941Z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